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5C" w:rsidRDefault="00B66C5C" w:rsidP="007A1C51">
      <w:pPr>
        <w:ind w:left="-993" w:right="-284"/>
        <w:rPr>
          <w:b/>
        </w:rPr>
      </w:pPr>
      <w:r>
        <w:rPr>
          <w:b/>
        </w:rPr>
        <w:t>5.2</w:t>
      </w:r>
      <w:r w:rsidR="007A1C51">
        <w:rPr>
          <w:b/>
        </w:rPr>
        <w:t>Учение И.</w:t>
      </w:r>
      <w:r w:rsidRPr="00A51C8A">
        <w:rPr>
          <w:b/>
        </w:rPr>
        <w:t>Канта об априорных формах рассудочного мышления</w:t>
      </w:r>
      <w:r w:rsidR="007A1C51">
        <w:rPr>
          <w:b/>
        </w:rPr>
        <w:t xml:space="preserve"> (И.Кант,“Пролегомены”, ч</w:t>
      </w:r>
      <w:r>
        <w:rPr>
          <w:b/>
        </w:rPr>
        <w:t xml:space="preserve"> 2)</w:t>
      </w:r>
    </w:p>
    <w:p w:rsidR="00B66C5C" w:rsidRDefault="00B66C5C" w:rsidP="007A1C51">
      <w:pPr>
        <w:ind w:left="-993" w:right="-284" w:firstLine="142"/>
        <w:jc w:val="both"/>
      </w:pPr>
      <w:r>
        <w:t xml:space="preserve">Доведенный до логической крайности, эмпиризм наталкивается на непреодолимые трудности: великая задача поисков новых путей и решений, способных предотвратить как иррационалистические и скептические крайности, так и крайности противоположного рода, связанные с рационалистическими философскими системами, выпала на долю Канта. </w:t>
      </w:r>
    </w:p>
    <w:p w:rsidR="00B66C5C" w:rsidRPr="004C3696" w:rsidRDefault="00B66C5C" w:rsidP="007A1C51">
      <w:pPr>
        <w:ind w:left="-993" w:right="-284" w:firstLine="142"/>
        <w:jc w:val="both"/>
      </w:pPr>
      <w:r w:rsidRPr="004C3696">
        <w:t xml:space="preserve">Иммануи́л Кант </w:t>
      </w:r>
      <w:r>
        <w:t>(1</w:t>
      </w:r>
      <w:r w:rsidRPr="004C3696">
        <w:t>724, Кёни</w:t>
      </w:r>
      <w:r>
        <w:t>гсберг, Пруссия[1] — 1804</w:t>
      </w:r>
      <w:r w:rsidRPr="004C3696">
        <w:t>) — немецкий философ, родоначальник немецкой классической философии,</w:t>
      </w:r>
      <w:r>
        <w:t xml:space="preserve"> </w:t>
      </w:r>
      <w:r w:rsidRPr="00EA3010">
        <w:rPr>
          <w:bCs/>
        </w:rPr>
        <w:t>Всеобщая естественная история и теория неба (1755)</w:t>
      </w:r>
      <w:r w:rsidRPr="00EA3010">
        <w:t xml:space="preserve">; </w:t>
      </w:r>
      <w:r w:rsidRPr="00EA3010">
        <w:rPr>
          <w:bCs/>
        </w:rPr>
        <w:t>Критика чистого разума (1781/1787)</w:t>
      </w:r>
      <w:r w:rsidRPr="00EA3010">
        <w:t xml:space="preserve">; </w:t>
      </w:r>
      <w:r w:rsidRPr="00EA3010">
        <w:rPr>
          <w:bCs/>
        </w:rPr>
        <w:t>Пролегомены ко всякой будущей метафизике… (1783)</w:t>
      </w:r>
      <w:r w:rsidRPr="00EA3010">
        <w:t xml:space="preserve">; </w:t>
      </w:r>
      <w:r w:rsidRPr="00EA3010">
        <w:rPr>
          <w:bCs/>
        </w:rPr>
        <w:t>Основы метафизики нравственности (1785)</w:t>
      </w:r>
      <w:r w:rsidRPr="00EA3010">
        <w:t xml:space="preserve">; </w:t>
      </w:r>
      <w:r w:rsidRPr="00EA3010">
        <w:rPr>
          <w:bCs/>
        </w:rPr>
        <w:t>Критика практического разума (1788).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rPr>
          <w:bCs/>
          <w:u w:val="single"/>
        </w:rPr>
        <w:t>Трансцендентальное единство апперцепции</w:t>
      </w:r>
      <w:r w:rsidRPr="002E7AE4">
        <w:rPr>
          <w:bCs/>
        </w:rPr>
        <w:t xml:space="preserve"> – единство и тождественность самосознания как предпосылка познавательного синтеза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rPr>
          <w:u w:val="single"/>
        </w:rPr>
        <w:t>Синтетическое</w:t>
      </w:r>
      <w:r w:rsidRPr="002E7AE4">
        <w:t xml:space="preserve"> - суждение, в котором содержание логического сказуемого (предиката) не заключено  в содержании логического подлежащего (субъекта). Не предмет заключает в себе связь, которую можно заимствовать из него путём восприятия, только благодаря чему она может быть усмотрена рассудком, а сама связь есть функция рассудка, и  сам рассудок есть не что иное, как способность a priori связывать и подводить многообразное содержание данных представлений под единство апперцепции.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rPr>
          <w:u w:val="single"/>
        </w:rPr>
        <w:t>Априорные формы рассудка</w:t>
      </w:r>
      <w:r w:rsidRPr="002E7AE4">
        <w:t xml:space="preserve">. Условием возможности априорного синтетического суждения в естествознании являются категории (качества, количества, отношения, модальности). Это независимые от поставляемого опытом содержания понятия рассудка, под которые рассудок подводит всякое содержание, получаемое из опыта. Т.е. категория не формы бытия, а понятия рассудка. Это только формы, под которую рассудок подводит доставляемый чувственностью материал. Категории априорны. Ни ощущения, ни понятия сами не дают знания. Ощущения без понятий - слепы, а понятия без ощущений - пусты. Знание есть синтез ощущений с понятиями. 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t>вывод: что вещи сами по себе непознаваемы. Ни формы чувственности, ни категории рассудка, ни эти 3 закона не составляют определения самих вещей в себе. Природа как предмет всеобщего и необходимого знания строится самим сознанием. =&gt; рассудок есть источник всеобщего порядка природы, так как он подводит все явления под свои собственные законы и только этим a priori осуществляет опыт (по его форме), в силу чего всё, что познаётся на опыте, необходимо подчинено законам рассудка. Мы имеем дело не с природой вещей самих по себе, которая независима и от условий нашей чувственности, и от условий рассудка, а с природой как предметом возможного опыта; и здесь от рассудка, делающего возможным этот опыт, зависит также и то, что чувственно воспринимаемый мир  есть природа.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t xml:space="preserve">Априорные формы обеспечивают всеобщность знания, но не делают его копией вещей. Есть принципиальное различие между тем, чем вещь является для нас - феномен, и тем, что она представляет сама по себе - ноумен. Ноумены недоступны никакому познанию, они - трансцендентны. Сколько бы мы не стремились познать явления, наше знание всегда будет отличаться от вещей, каковы они на самом деле. И сколько бы не увеличивались наши знания, их границы не могут исчезнуть. </w:t>
      </w:r>
    </w:p>
    <w:p w:rsidR="00B66C5C" w:rsidRPr="002E7AE4" w:rsidRDefault="00B66C5C" w:rsidP="007A1C51">
      <w:pPr>
        <w:ind w:left="-993" w:right="-284" w:firstLine="285"/>
        <w:jc w:val="both"/>
      </w:pPr>
      <w:r w:rsidRPr="002E7AE4">
        <w:t>Одна из частей человеческого познания - чувственное познание. По Канту, существуют две априорные формы чувственности - пространство и время. Пространство систематизирует внешние ощущения, а время - внутренние. Кант рассматривает пространство и время лишь во взаимной связи, но связь реализуется лишь в трансцендентальном субъекте. Трансцендентальная аналитика является одновременным ответом на вопрос о том, как возможна математика как наука. По Канту, геометрия имеет своим базисом пространственные представления, а арифметика - временные представления.</w:t>
      </w:r>
    </w:p>
    <w:p w:rsidR="00B66C5C" w:rsidRDefault="00B66C5C" w:rsidP="007A1C51">
      <w:pPr>
        <w:ind w:left="-993" w:right="-284"/>
        <w:rPr>
          <w:b/>
        </w:rPr>
      </w:pPr>
      <w:r w:rsidRPr="002E7AE4">
        <w:t>Философ видит в человеческом рассудке заранее "возведенную конструкцию" - категории. Это как бы возможность научного знания, а чтобы на базе этой возможности возникло понятие требуется "продуктивное воображение". Кант говорит о "спонтанности мышления". рассудок, благодаря продуктивному воображению, сам стихийно, помимо сознательного контроля, создает свои понятия. Продуктивное воображение - это "инструмент" синтеза чувственности и рассудка. Кант выделяет четыре группы категорий: количества (единство, множественность, целокупность); качества (реальность, отрицание, ограничение); отношения (присущность и самостоятельное существование, или акциденция и субстанция; причинность и зависимость, или причина и действие; общение, или взаимодействие); модальности (возможность - невозможность, существование - несуществование, необходимость - случайность). Философ считает, что именно априорная структура рассудка делает возможным естествознание в качестве науки.</w:t>
      </w:r>
    </w:p>
    <w:p w:rsidR="004D3AFC" w:rsidRDefault="00142939" w:rsidP="007A1C51">
      <w:pPr>
        <w:ind w:left="-993" w:right="-284"/>
      </w:pPr>
    </w:p>
    <w:sectPr w:rsidR="004D3AFC" w:rsidSect="007A1C5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C5C"/>
    <w:rsid w:val="00142939"/>
    <w:rsid w:val="00273A0D"/>
    <w:rsid w:val="00365A4B"/>
    <w:rsid w:val="003F78A2"/>
    <w:rsid w:val="0067534D"/>
    <w:rsid w:val="007A1C51"/>
    <w:rsid w:val="00A60B65"/>
    <w:rsid w:val="00B66C5C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2010-06-20T22:31:00Z</dcterms:created>
  <dcterms:modified xsi:type="dcterms:W3CDTF">2010-06-20T22:46:00Z</dcterms:modified>
</cp:coreProperties>
</file>